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w:t>
      </w:r>
      <w:r w:rsidR="00B5385D">
        <w:rPr>
          <w:rFonts w:ascii="Arial" w:eastAsia="MS Mincho" w:hAnsi="Arial" w:cs="Arial"/>
          <w:b/>
          <w:sz w:val="24"/>
          <w:szCs w:val="24"/>
          <w:lang w:val="en-US"/>
        </w:rPr>
        <w:t>8</w:t>
      </w:r>
      <w:r w:rsidRPr="00401396">
        <w:rPr>
          <w:rFonts w:ascii="Arial" w:eastAsia="MS Mincho" w:hAnsi="Arial" w:cs="Arial"/>
          <w:b/>
          <w:sz w:val="24"/>
          <w:szCs w:val="24"/>
          <w:lang w:val="en-US"/>
        </w:rPr>
        <w:t>-e</w:t>
      </w:r>
      <w:r w:rsidRPr="00401396" w:rsidDel="00277FAB">
        <w:rPr>
          <w:rFonts w:ascii="Arial" w:eastAsia="MS Mincho" w:hAnsi="Arial" w:cs="Arial"/>
          <w:b/>
          <w:sz w:val="24"/>
          <w:szCs w:val="24"/>
          <w:lang w:val="en-US"/>
        </w:rPr>
        <w:t xml:space="preserve"> </w:t>
      </w:r>
      <w:r w:rsidRPr="00401396">
        <w:rPr>
          <w:rFonts w:ascii="Arial" w:eastAsia="MS Mincho" w:hAnsi="Arial" w:cs="Arial"/>
          <w:b/>
          <w:sz w:val="24"/>
          <w:szCs w:val="24"/>
          <w:lang w:val="en-US"/>
        </w:rPr>
        <w:tab/>
        <w:t>R4-2</w:t>
      </w:r>
      <w:r w:rsidR="00B5385D">
        <w:rPr>
          <w:rFonts w:ascii="Arial" w:eastAsia="MS Mincho" w:hAnsi="Arial" w:cs="Arial"/>
          <w:b/>
          <w:sz w:val="24"/>
          <w:szCs w:val="24"/>
          <w:lang w:val="en-US"/>
        </w:rPr>
        <w:t>10</w:t>
      </w:r>
      <w:r w:rsidR="00CA439E">
        <w:rPr>
          <w:rFonts w:ascii="Arial" w:eastAsia="MS Mincho" w:hAnsi="Arial" w:cs="Arial"/>
          <w:b/>
          <w:sz w:val="24"/>
          <w:szCs w:val="24"/>
          <w:lang w:val="en-US"/>
        </w:rPr>
        <w:t>1874</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 xml:space="preserve">Electronic Meeting, </w:t>
      </w:r>
      <w:r w:rsidR="00B5385D">
        <w:rPr>
          <w:rFonts w:eastAsia="宋体"/>
          <w:b/>
          <w:sz w:val="24"/>
          <w:szCs w:val="24"/>
          <w:lang w:val="en-US" w:eastAsia="zh-CN"/>
        </w:rPr>
        <w:t>25</w:t>
      </w:r>
      <w:r w:rsidR="00EF408F" w:rsidRPr="00EF408F">
        <w:rPr>
          <w:rFonts w:eastAsia="宋体"/>
          <w:b/>
          <w:sz w:val="24"/>
          <w:szCs w:val="24"/>
          <w:vertAlign w:val="superscript"/>
          <w:lang w:val="en-US" w:eastAsia="zh-CN"/>
        </w:rPr>
        <w:t>th</w:t>
      </w:r>
      <w:r w:rsidR="00B5385D">
        <w:rPr>
          <w:rFonts w:eastAsia="宋体"/>
          <w:b/>
          <w:sz w:val="24"/>
          <w:szCs w:val="24"/>
          <w:lang w:val="en-US" w:eastAsia="zh-CN"/>
        </w:rPr>
        <w:t xml:space="preserve"> </w:t>
      </w:r>
      <w:r w:rsidR="00B5385D">
        <w:rPr>
          <w:rFonts w:eastAsia="宋体" w:hint="eastAsia"/>
          <w:b/>
          <w:sz w:val="24"/>
          <w:szCs w:val="24"/>
          <w:lang w:val="en-US" w:eastAsia="zh-CN"/>
        </w:rPr>
        <w:t>Jan</w:t>
      </w:r>
      <w:r w:rsidRPr="00401396">
        <w:rPr>
          <w:rFonts w:eastAsia="宋体"/>
          <w:b/>
          <w:sz w:val="24"/>
          <w:szCs w:val="24"/>
          <w:lang w:val="en-US" w:eastAsia="zh-CN"/>
        </w:rPr>
        <w:t>-</w:t>
      </w:r>
      <w:r w:rsidR="00B5385D">
        <w:rPr>
          <w:rFonts w:eastAsia="宋体"/>
          <w:b/>
          <w:sz w:val="24"/>
          <w:szCs w:val="24"/>
          <w:lang w:val="en-US" w:eastAsia="zh-CN"/>
        </w:rPr>
        <w:t xml:space="preserve"> 5</w:t>
      </w:r>
      <w:r w:rsidR="00EF408F" w:rsidRPr="00EF408F">
        <w:rPr>
          <w:rFonts w:eastAsia="宋体"/>
          <w:b/>
          <w:sz w:val="24"/>
          <w:szCs w:val="24"/>
          <w:vertAlign w:val="superscript"/>
          <w:lang w:val="en-US" w:eastAsia="zh-CN"/>
        </w:rPr>
        <w:t>th</w:t>
      </w:r>
      <w:r w:rsidRPr="00401396">
        <w:rPr>
          <w:rFonts w:eastAsia="宋体"/>
          <w:b/>
          <w:sz w:val="24"/>
          <w:szCs w:val="24"/>
          <w:lang w:val="en-US" w:eastAsia="zh-CN"/>
        </w:rPr>
        <w:t xml:space="preserve"> </w:t>
      </w:r>
      <w:r w:rsidR="00B5385D">
        <w:rPr>
          <w:rFonts w:eastAsia="宋体" w:hint="eastAsia"/>
          <w:b/>
          <w:sz w:val="24"/>
          <w:szCs w:val="24"/>
          <w:lang w:val="en-US" w:eastAsia="zh-CN"/>
        </w:rPr>
        <w:t>Feb</w:t>
      </w:r>
      <w:r w:rsidRPr="00401396">
        <w:rPr>
          <w:rFonts w:eastAsia="宋体"/>
          <w:b/>
          <w:sz w:val="24"/>
          <w:szCs w:val="24"/>
          <w:lang w:val="en-US" w:eastAsia="zh-CN"/>
        </w:rPr>
        <w:t>.,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w:t>
      </w:r>
      <w:r w:rsidR="00081ABB">
        <w:rPr>
          <w:rFonts w:ascii="Arial" w:hAnsi="Arial"/>
          <w:sz w:val="24"/>
          <w:lang w:val="en-US"/>
        </w:rPr>
        <w:t xml:space="preserve">V2X HPUE power class signaling </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5662AB">
        <w:rPr>
          <w:rFonts w:ascii="Arial" w:hAnsi="Arial"/>
          <w:sz w:val="24"/>
          <w:lang w:val="pt-BR"/>
        </w:rPr>
        <w:t>11.10.5</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 xml:space="preserve">The HPUE </w:t>
      </w:r>
      <w:r w:rsidR="00081ABB">
        <w:rPr>
          <w:lang w:val="en-US" w:eastAsia="zh-CN"/>
        </w:rPr>
        <w:t>power class signaling issue has been raised in RAN4#96-e meeting in [1]</w:t>
      </w:r>
      <w:r>
        <w:rPr>
          <w:lang w:val="en-US" w:eastAsia="zh-CN"/>
        </w:rPr>
        <w:t>.</w:t>
      </w:r>
      <w:r w:rsidR="00984A1B">
        <w:rPr>
          <w:lang w:val="en-US" w:eastAsia="zh-CN"/>
        </w:rPr>
        <w:t xml:space="preserve"> Since currently work plan is trying to introduce PC2 for Sidelink enhancement, the power class issue needs to be solved at this stage. In this paper, we try to give some analysis of LTE Sidelink PC2 signaling and provide some way forward to solve the PC2 signaling issue for V2X HPUE.</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D607D4" w:rsidRDefault="00984A1B" w:rsidP="00480F2E">
      <w:pPr>
        <w:rPr>
          <w:lang w:val="en-US" w:eastAsia="zh-CN"/>
        </w:rPr>
      </w:pPr>
      <w:r>
        <w:rPr>
          <w:lang w:val="en-US" w:eastAsia="zh-CN"/>
        </w:rPr>
        <w:t>During the discussion in Rel-16 period, it is agreed in [1] that:</w:t>
      </w:r>
    </w:p>
    <w:p w:rsidR="00984A1B" w:rsidRDefault="00984A1B" w:rsidP="00984A1B">
      <w:pPr>
        <w:jc w:val="center"/>
        <w:rPr>
          <w:lang w:val="en-US" w:eastAsia="zh-CN"/>
        </w:rPr>
      </w:pPr>
      <w:r>
        <w:rPr>
          <w:noProof/>
          <w:lang w:val="en-US" w:eastAsia="zh-CN"/>
        </w:rPr>
        <w:drawing>
          <wp:inline distT="0" distB="0" distL="0" distR="0" wp14:anchorId="6FD54105" wp14:editId="39973613">
            <wp:extent cx="4476750" cy="555156"/>
            <wp:effectExtent l="19050" t="19050" r="1905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504506" cy="558598"/>
                    </a:xfrm>
                    <a:prstGeom prst="rect">
                      <a:avLst/>
                    </a:prstGeom>
                    <a:ln>
                      <a:solidFill>
                        <a:schemeClr val="tx1"/>
                      </a:solidFill>
                    </a:ln>
                  </pic:spPr>
                </pic:pic>
              </a:graphicData>
            </a:graphic>
          </wp:inline>
        </w:drawing>
      </w:r>
    </w:p>
    <w:p w:rsidR="00984A1B" w:rsidRDefault="00984A1B" w:rsidP="00984A1B">
      <w:pPr>
        <w:rPr>
          <w:lang w:val="en-US" w:eastAsia="zh-CN"/>
        </w:rPr>
      </w:pPr>
      <w:r>
        <w:rPr>
          <w:lang w:val="en-US" w:eastAsia="zh-CN"/>
        </w:rPr>
        <w:t>However, considering the PC2 introduction is under processing in Rel-17 WID, we believe the signaling issue needs to be finalized. The current problem is power class may be different for V2X UE supporting PC3 on each antenna connector but can support PC2 when summing up the power of two antennas.</w:t>
      </w:r>
      <w:r>
        <w:rPr>
          <w:rFonts w:hint="eastAsia"/>
          <w:lang w:val="en-US" w:eastAsia="zh-CN"/>
        </w:rPr>
        <w:t xml:space="preserve"> </w:t>
      </w:r>
      <w:r>
        <w:rPr>
          <w:lang w:val="en-US" w:eastAsia="zh-CN"/>
        </w:rPr>
        <w:t>In this time, as the capability signaling define only one IE “</w:t>
      </w:r>
      <w:r w:rsidR="00115B38" w:rsidRPr="00115B38">
        <w:rPr>
          <w:i/>
          <w:lang w:val="en-US" w:eastAsia="zh-CN"/>
        </w:rPr>
        <w:t>ue-PowerClass</w:t>
      </w:r>
      <w:r>
        <w:rPr>
          <w:lang w:val="en-US" w:eastAsia="zh-CN"/>
        </w:rPr>
        <w:t>”</w:t>
      </w:r>
      <w:r w:rsidR="00115B38">
        <w:rPr>
          <w:lang w:val="en-US" w:eastAsia="zh-CN"/>
        </w:rPr>
        <w:t xml:space="preserve"> as per band basis for different kind of UE.</w:t>
      </w:r>
    </w:p>
    <w:p w:rsidR="00115B38" w:rsidRDefault="00115B38" w:rsidP="00984A1B">
      <w:pPr>
        <w:rPr>
          <w:lang w:val="en-US" w:eastAsia="zh-CN"/>
        </w:rPr>
      </w:pPr>
      <w:r>
        <w:rPr>
          <w:lang w:val="en-US" w:eastAsia="zh-CN"/>
        </w:rPr>
        <w:t>If we look back to LTE V2X, in TS 36.306, a power class capability signaling IE “</w:t>
      </w:r>
      <w:r w:rsidRPr="006B166F">
        <w:rPr>
          <w:i/>
        </w:rPr>
        <w:t>v2x-HighPower-r14</w:t>
      </w:r>
      <w:r>
        <w:rPr>
          <w:lang w:val="en-US" w:eastAsia="zh-CN"/>
        </w:rPr>
        <w:t>” is defined as:</w:t>
      </w:r>
    </w:p>
    <w:p w:rsidR="00115B38" w:rsidRDefault="00115B38" w:rsidP="00115B38">
      <w:pPr>
        <w:jc w:val="center"/>
        <w:rPr>
          <w:lang w:val="en-US" w:eastAsia="zh-CN"/>
        </w:rPr>
      </w:pPr>
      <w:r>
        <w:rPr>
          <w:noProof/>
          <w:lang w:val="en-US" w:eastAsia="zh-CN"/>
        </w:rPr>
        <w:drawing>
          <wp:inline distT="0" distB="0" distL="0" distR="0" wp14:anchorId="59C9EBFF" wp14:editId="45440CA7">
            <wp:extent cx="5622085" cy="571500"/>
            <wp:effectExtent l="19050" t="19050" r="17145"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68340" cy="576202"/>
                    </a:xfrm>
                    <a:prstGeom prst="rect">
                      <a:avLst/>
                    </a:prstGeom>
                    <a:ln>
                      <a:solidFill>
                        <a:schemeClr val="tx1"/>
                      </a:solidFill>
                    </a:ln>
                  </pic:spPr>
                </pic:pic>
              </a:graphicData>
            </a:graphic>
          </wp:inline>
        </w:drawing>
      </w:r>
    </w:p>
    <w:p w:rsidR="00115B38" w:rsidRPr="00115B38" w:rsidRDefault="00115B38" w:rsidP="00115B38">
      <w:pPr>
        <w:rPr>
          <w:b/>
          <w:lang w:val="en-US" w:eastAsia="zh-CN"/>
        </w:rPr>
      </w:pPr>
      <w:r w:rsidRPr="00115B38">
        <w:rPr>
          <w:b/>
          <w:lang w:val="en-US" w:eastAsia="zh-CN"/>
        </w:rPr>
        <w:t>Observation 1: IE “</w:t>
      </w:r>
      <w:r w:rsidRPr="00115B38">
        <w:rPr>
          <w:b/>
          <w:i/>
        </w:rPr>
        <w:t>v2x-HighPower-r14</w:t>
      </w:r>
      <w:r w:rsidRPr="00115B38">
        <w:rPr>
          <w:b/>
          <w:lang w:val="en-US" w:eastAsia="zh-CN"/>
        </w:rPr>
        <w:t>” is specifically used to indicate V2X sidelink PC2 for LTE</w:t>
      </w:r>
    </w:p>
    <w:p w:rsidR="00115B38" w:rsidRDefault="00115B38" w:rsidP="00115B38">
      <w:pPr>
        <w:rPr>
          <w:lang w:val="en-US" w:eastAsia="zh-CN"/>
        </w:rPr>
      </w:pPr>
      <w:r>
        <w:rPr>
          <w:rFonts w:hint="eastAsia"/>
          <w:lang w:val="en-US" w:eastAsia="zh-CN"/>
        </w:rPr>
        <w:t>T</w:t>
      </w:r>
      <w:r>
        <w:rPr>
          <w:lang w:val="en-US" w:eastAsia="zh-CN"/>
        </w:rPr>
        <w:t>his IE is specifically used to indicate V2X sidelink PC2 for LTE.</w:t>
      </w:r>
      <w:r>
        <w:rPr>
          <w:rFonts w:hint="eastAsia"/>
          <w:lang w:val="en-US" w:eastAsia="zh-CN"/>
        </w:rPr>
        <w:t xml:space="preserve"> </w:t>
      </w:r>
      <w:r>
        <w:rPr>
          <w:lang w:val="en-US" w:eastAsia="zh-CN"/>
        </w:rPr>
        <w:t>However, this IE is not defined in current TS 38.306 yet.</w:t>
      </w:r>
    </w:p>
    <w:p w:rsidR="00115B38" w:rsidRPr="00115B38" w:rsidRDefault="00115B38" w:rsidP="00115B38">
      <w:pPr>
        <w:rPr>
          <w:b/>
          <w:lang w:val="en-US" w:eastAsia="zh-CN"/>
        </w:rPr>
      </w:pPr>
      <w:r w:rsidRPr="00115B38">
        <w:rPr>
          <w:b/>
          <w:lang w:val="en-US" w:eastAsia="zh-CN"/>
        </w:rPr>
        <w:t>Proposal 1: To define IE for PC2 V2X UE for V2X sidelink transmission in a band.</w:t>
      </w:r>
    </w:p>
    <w:p w:rsidR="00115B38" w:rsidRDefault="00C83690" w:rsidP="00115B38">
      <w:pPr>
        <w:rPr>
          <w:lang w:val="en-US" w:eastAsia="zh-CN"/>
        </w:rPr>
      </w:pPr>
      <w:r>
        <w:rPr>
          <w:rFonts w:hint="eastAsia"/>
          <w:lang w:val="en-US" w:eastAsia="zh-CN"/>
        </w:rPr>
        <w:t>F</w:t>
      </w:r>
      <w:r>
        <w:rPr>
          <w:lang w:val="en-US" w:eastAsia="zh-CN"/>
        </w:rPr>
        <w:t>urthermore, the on-going discussion for different signaling for one antenna port or two antenna ports is also under discussion in main forum. This is not a specific V2X question supporting SL-MIMO or TXD. The background can go back to [2] as it is agreed that:</w:t>
      </w:r>
    </w:p>
    <w:p w:rsidR="00C83690" w:rsidRDefault="00C83690" w:rsidP="00C83690">
      <w:pPr>
        <w:jc w:val="center"/>
        <w:rPr>
          <w:lang w:val="en-US" w:eastAsia="zh-CN"/>
        </w:rPr>
      </w:pPr>
      <w:r>
        <w:rPr>
          <w:noProof/>
          <w:lang w:val="en-US" w:eastAsia="zh-CN"/>
        </w:rPr>
        <w:drawing>
          <wp:inline distT="0" distB="0" distL="0" distR="0" wp14:anchorId="0F076772" wp14:editId="7DA31712">
            <wp:extent cx="5264150" cy="828826"/>
            <wp:effectExtent l="19050" t="19050" r="12700" b="285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1544" cy="829990"/>
                    </a:xfrm>
                    <a:prstGeom prst="rect">
                      <a:avLst/>
                    </a:prstGeom>
                    <a:ln>
                      <a:solidFill>
                        <a:schemeClr val="tx1"/>
                      </a:solidFill>
                    </a:ln>
                  </pic:spPr>
                </pic:pic>
              </a:graphicData>
            </a:graphic>
          </wp:inline>
        </w:drawing>
      </w:r>
    </w:p>
    <w:p w:rsidR="00C83690" w:rsidRDefault="00C83690" w:rsidP="00115B38">
      <w:pPr>
        <w:rPr>
          <w:lang w:val="en-US" w:eastAsia="zh-CN"/>
        </w:rPr>
      </w:pPr>
      <w:r>
        <w:rPr>
          <w:rFonts w:hint="eastAsia"/>
          <w:lang w:val="en-US" w:eastAsia="zh-CN"/>
        </w:rPr>
        <w:t>T</w:t>
      </w:r>
      <w:r>
        <w:rPr>
          <w:lang w:val="en-US" w:eastAsia="zh-CN"/>
        </w:rPr>
        <w:t>his is similar issue for SL-MIMO and currently the another WF [3] has been agreed as</w:t>
      </w:r>
      <w:r w:rsidR="00D42672">
        <w:rPr>
          <w:lang w:val="en-US" w:eastAsia="zh-CN"/>
        </w:rPr>
        <w:t xml:space="preserve"> below</w:t>
      </w:r>
      <w:r>
        <w:rPr>
          <w:lang w:val="en-US" w:eastAsia="zh-CN"/>
        </w:rPr>
        <w:t>:</w:t>
      </w:r>
    </w:p>
    <w:p w:rsidR="00C83690" w:rsidRDefault="00C83690" w:rsidP="00C83690">
      <w:pPr>
        <w:jc w:val="center"/>
        <w:rPr>
          <w:lang w:val="en-US" w:eastAsia="zh-CN"/>
        </w:rPr>
      </w:pPr>
      <w:r>
        <w:rPr>
          <w:noProof/>
          <w:lang w:val="en-US" w:eastAsia="zh-CN"/>
        </w:rPr>
        <w:lastRenderedPageBreak/>
        <w:drawing>
          <wp:inline distT="0" distB="0" distL="0" distR="0" wp14:anchorId="2268F8C5" wp14:editId="67DEE270">
            <wp:extent cx="5003800" cy="2171325"/>
            <wp:effectExtent l="19050" t="19050" r="25400" b="196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004998" cy="2171845"/>
                    </a:xfrm>
                    <a:prstGeom prst="rect">
                      <a:avLst/>
                    </a:prstGeom>
                    <a:ln>
                      <a:solidFill>
                        <a:schemeClr val="tx1"/>
                      </a:solidFill>
                    </a:ln>
                  </pic:spPr>
                </pic:pic>
              </a:graphicData>
            </a:graphic>
          </wp:inline>
        </w:drawing>
      </w:r>
    </w:p>
    <w:p w:rsidR="00D42672" w:rsidRDefault="00D42672" w:rsidP="00D42672">
      <w:pPr>
        <w:rPr>
          <w:lang w:val="en-US" w:eastAsia="zh-CN"/>
        </w:rPr>
      </w:pPr>
      <w:r>
        <w:rPr>
          <w:lang w:val="en-US" w:eastAsia="zh-CN"/>
        </w:rPr>
        <w:t xml:space="preserve">From the WF agreement we can see there is still on-going discussion and new signaling is one of the options as option 1b. </w:t>
      </w:r>
      <w:r>
        <w:rPr>
          <w:rFonts w:hint="eastAsia"/>
          <w:lang w:val="en-US" w:eastAsia="zh-CN"/>
        </w:rPr>
        <w:t>H</w:t>
      </w:r>
      <w:r>
        <w:rPr>
          <w:lang w:val="en-US" w:eastAsia="zh-CN"/>
        </w:rPr>
        <w:t>ence, before the discussion in main forum has settled down, it is recommended to postpone the new signaling discussion.</w:t>
      </w:r>
    </w:p>
    <w:p w:rsidR="00115B38" w:rsidRPr="00D42672" w:rsidRDefault="00D42672" w:rsidP="00115B38">
      <w:pPr>
        <w:rPr>
          <w:b/>
          <w:lang w:val="en-US" w:eastAsia="zh-CN"/>
        </w:rPr>
      </w:pPr>
      <w:r w:rsidRPr="00D42672">
        <w:rPr>
          <w:b/>
          <w:lang w:val="en-US" w:eastAsia="zh-CN"/>
        </w:rPr>
        <w:t>Proposal 2: To wait for main forum to settle down the new capability signaling discussion.</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D607D4">
        <w:rPr>
          <w:lang w:val="en-US" w:eastAsia="zh-CN"/>
        </w:rPr>
        <w:t>remaining issue on V2X HPUE</w:t>
      </w:r>
      <w:r w:rsidR="00D42672">
        <w:rPr>
          <w:lang w:val="en-US" w:eastAsia="zh-CN"/>
        </w:rPr>
        <w:t xml:space="preserve"> signaling</w:t>
      </w:r>
      <w:r w:rsidR="00323263">
        <w:rPr>
          <w:lang w:val="en-US" w:eastAsia="zh-CN"/>
        </w:rPr>
        <w:t xml:space="preserve"> and the observations are shown as below</w:t>
      </w:r>
      <w:r w:rsidR="00323263">
        <w:rPr>
          <w:rFonts w:hint="eastAsia"/>
          <w:lang w:val="en-US" w:eastAsia="zh-CN"/>
        </w:rPr>
        <w:t>：</w:t>
      </w:r>
    </w:p>
    <w:p w:rsidR="00D42672" w:rsidRPr="00115B38" w:rsidRDefault="00D42672" w:rsidP="00D42672">
      <w:pPr>
        <w:rPr>
          <w:b/>
          <w:lang w:val="en-US" w:eastAsia="zh-CN"/>
        </w:rPr>
      </w:pPr>
      <w:r w:rsidRPr="00115B38">
        <w:rPr>
          <w:b/>
          <w:lang w:val="en-US" w:eastAsia="zh-CN"/>
        </w:rPr>
        <w:t>Observation 1: IE “</w:t>
      </w:r>
      <w:r w:rsidRPr="00115B38">
        <w:rPr>
          <w:b/>
          <w:i/>
        </w:rPr>
        <w:t>v2x-HighPower-r14</w:t>
      </w:r>
      <w:r w:rsidRPr="00115B38">
        <w:rPr>
          <w:b/>
          <w:lang w:val="en-US" w:eastAsia="zh-CN"/>
        </w:rPr>
        <w:t>” is specifically used to indicate V2X sidelink PC2 for LTE</w:t>
      </w:r>
    </w:p>
    <w:p w:rsidR="00D42672" w:rsidRPr="00115B38" w:rsidRDefault="00D42672" w:rsidP="00D42672">
      <w:pPr>
        <w:rPr>
          <w:b/>
          <w:lang w:val="en-US" w:eastAsia="zh-CN"/>
        </w:rPr>
      </w:pPr>
      <w:r w:rsidRPr="00115B38">
        <w:rPr>
          <w:b/>
          <w:lang w:val="en-US" w:eastAsia="zh-CN"/>
        </w:rPr>
        <w:t>Proposal 1: To define IE for PC2 V2X UE for V2X sidelink transmission in a band.</w:t>
      </w:r>
    </w:p>
    <w:p w:rsidR="00D42672" w:rsidRPr="00D42672" w:rsidRDefault="00D42672" w:rsidP="00D42672">
      <w:pPr>
        <w:rPr>
          <w:b/>
          <w:lang w:val="en-US" w:eastAsia="zh-CN"/>
        </w:rPr>
      </w:pPr>
      <w:r w:rsidRPr="00D42672">
        <w:rPr>
          <w:b/>
          <w:lang w:val="en-US" w:eastAsia="zh-CN"/>
        </w:rPr>
        <w:t>Proposal 2: To wait for main forum to settle down the new capability signaling discussion.</w:t>
      </w:r>
    </w:p>
    <w:p w:rsidR="00DB2AC9" w:rsidRPr="000A4C5A" w:rsidRDefault="00DB2AC9" w:rsidP="00DB2AC9">
      <w:pPr>
        <w:pStyle w:val="1"/>
      </w:pPr>
      <w:r w:rsidRPr="000A4C5A">
        <w:rPr>
          <w:rFonts w:hint="eastAsia"/>
        </w:rPr>
        <w:t>Reference</w:t>
      </w:r>
    </w:p>
    <w:bookmarkEnd w:id="2"/>
    <w:p w:rsidR="00CA6327" w:rsidRDefault="00081ABB" w:rsidP="00081ABB">
      <w:pPr>
        <w:numPr>
          <w:ilvl w:val="0"/>
          <w:numId w:val="2"/>
        </w:numPr>
        <w:rPr>
          <w:lang w:val="en-US" w:eastAsia="zh-CN"/>
        </w:rPr>
      </w:pPr>
      <w:r w:rsidRPr="00081ABB">
        <w:rPr>
          <w:lang w:val="en-US" w:eastAsia="zh-CN"/>
        </w:rPr>
        <w:t>R4-2011848</w:t>
      </w:r>
      <w:r w:rsidRPr="00081ABB">
        <w:rPr>
          <w:lang w:val="en-US" w:eastAsia="zh-CN"/>
        </w:rPr>
        <w:tab/>
        <w:t>Email discussion summary for [96e][108] 5G_V2X_NRSL_UE_RF</w:t>
      </w:r>
      <w:r>
        <w:rPr>
          <w:lang w:val="en-US" w:eastAsia="zh-CN"/>
        </w:rPr>
        <w:t xml:space="preserve">, </w:t>
      </w:r>
      <w:r w:rsidRPr="00081ABB">
        <w:rPr>
          <w:lang w:val="en-US" w:eastAsia="zh-CN"/>
        </w:rPr>
        <w:t>Moderator (LG Electronics)</w:t>
      </w:r>
    </w:p>
    <w:p w:rsidR="00C83690" w:rsidRPr="00C83690" w:rsidRDefault="00C83690" w:rsidP="00081ABB">
      <w:pPr>
        <w:numPr>
          <w:ilvl w:val="0"/>
          <w:numId w:val="2"/>
        </w:numPr>
        <w:rPr>
          <w:lang w:val="en-US" w:eastAsia="zh-CN"/>
        </w:rPr>
      </w:pPr>
      <w:r>
        <w:rPr>
          <w:lang w:eastAsia="zh-CN"/>
        </w:rPr>
        <w:t>R4-2005652</w:t>
      </w:r>
      <w:r>
        <w:rPr>
          <w:lang w:eastAsia="zh-CN"/>
        </w:rPr>
        <w:tab/>
      </w:r>
      <w:r w:rsidRPr="00C83690">
        <w:rPr>
          <w:lang w:eastAsia="zh-CN"/>
        </w:rPr>
        <w:t>WF on Uplink Full Power Transmission</w:t>
      </w:r>
      <w:r>
        <w:rPr>
          <w:lang w:eastAsia="zh-CN"/>
        </w:rPr>
        <w:t>, Samsung</w:t>
      </w:r>
    </w:p>
    <w:p w:rsidR="00C83690" w:rsidRDefault="00C83690" w:rsidP="00081ABB">
      <w:pPr>
        <w:numPr>
          <w:ilvl w:val="0"/>
          <w:numId w:val="2"/>
        </w:numPr>
        <w:rPr>
          <w:lang w:val="en-US" w:eastAsia="zh-CN"/>
        </w:rPr>
      </w:pPr>
      <w:r>
        <w:rPr>
          <w:lang w:eastAsia="zh-CN"/>
        </w:rPr>
        <w:t>R4-2016830</w:t>
      </w:r>
      <w:r>
        <w:rPr>
          <w:lang w:eastAsia="zh-CN"/>
        </w:rPr>
        <w:tab/>
      </w:r>
      <w:r w:rsidRPr="00C83690">
        <w:rPr>
          <w:lang w:eastAsia="zh-CN"/>
        </w:rPr>
        <w:t>Way Forward on NR TxD &amp; Power Class</w:t>
      </w:r>
      <w:r>
        <w:rPr>
          <w:lang w:eastAsia="zh-CN"/>
        </w:rPr>
        <w:t>, VIVO</w:t>
      </w: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FF3" w:rsidRDefault="002E6FF3" w:rsidP="00DB2AC9">
      <w:pPr>
        <w:spacing w:after="0"/>
      </w:pPr>
      <w:r>
        <w:separator/>
      </w:r>
    </w:p>
  </w:endnote>
  <w:endnote w:type="continuationSeparator" w:id="0">
    <w:p w:rsidR="002E6FF3" w:rsidRDefault="002E6FF3"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FF3" w:rsidRDefault="002E6FF3" w:rsidP="00DB2AC9">
      <w:pPr>
        <w:spacing w:after="0"/>
      </w:pPr>
      <w:r>
        <w:separator/>
      </w:r>
    </w:p>
  </w:footnote>
  <w:footnote w:type="continuationSeparator" w:id="0">
    <w:p w:rsidR="002E6FF3" w:rsidRDefault="002E6FF3"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81ABB"/>
    <w:rsid w:val="00115B38"/>
    <w:rsid w:val="00153FF0"/>
    <w:rsid w:val="0019167E"/>
    <w:rsid w:val="001E0BF5"/>
    <w:rsid w:val="001F4672"/>
    <w:rsid w:val="00260C91"/>
    <w:rsid w:val="00263744"/>
    <w:rsid w:val="00284B35"/>
    <w:rsid w:val="002A553E"/>
    <w:rsid w:val="002C2022"/>
    <w:rsid w:val="002D2F74"/>
    <w:rsid w:val="002E6FF3"/>
    <w:rsid w:val="00323263"/>
    <w:rsid w:val="00345A95"/>
    <w:rsid w:val="00401396"/>
    <w:rsid w:val="00477BCE"/>
    <w:rsid w:val="00480F2E"/>
    <w:rsid w:val="004C1C43"/>
    <w:rsid w:val="00517EAB"/>
    <w:rsid w:val="0052288E"/>
    <w:rsid w:val="005662AB"/>
    <w:rsid w:val="00594B57"/>
    <w:rsid w:val="005B1762"/>
    <w:rsid w:val="005C016E"/>
    <w:rsid w:val="005C73C6"/>
    <w:rsid w:val="006318F5"/>
    <w:rsid w:val="00641E42"/>
    <w:rsid w:val="00692D6B"/>
    <w:rsid w:val="00773B7D"/>
    <w:rsid w:val="007F54FC"/>
    <w:rsid w:val="008006DE"/>
    <w:rsid w:val="00805BF5"/>
    <w:rsid w:val="008D0CAC"/>
    <w:rsid w:val="00984A1B"/>
    <w:rsid w:val="00992D9C"/>
    <w:rsid w:val="009B75C0"/>
    <w:rsid w:val="00A04E47"/>
    <w:rsid w:val="00A10E75"/>
    <w:rsid w:val="00A24FEA"/>
    <w:rsid w:val="00A3401F"/>
    <w:rsid w:val="00A46759"/>
    <w:rsid w:val="00A652AE"/>
    <w:rsid w:val="00A84FCD"/>
    <w:rsid w:val="00AC0B92"/>
    <w:rsid w:val="00B03CB3"/>
    <w:rsid w:val="00B454C2"/>
    <w:rsid w:val="00B5385D"/>
    <w:rsid w:val="00BA648E"/>
    <w:rsid w:val="00BB408C"/>
    <w:rsid w:val="00BE2F01"/>
    <w:rsid w:val="00C37E83"/>
    <w:rsid w:val="00C42119"/>
    <w:rsid w:val="00C7497C"/>
    <w:rsid w:val="00C75255"/>
    <w:rsid w:val="00C83690"/>
    <w:rsid w:val="00CA439E"/>
    <w:rsid w:val="00CA6327"/>
    <w:rsid w:val="00CA75C2"/>
    <w:rsid w:val="00CB6C89"/>
    <w:rsid w:val="00CE6AC7"/>
    <w:rsid w:val="00CF3C50"/>
    <w:rsid w:val="00D03608"/>
    <w:rsid w:val="00D15177"/>
    <w:rsid w:val="00D30509"/>
    <w:rsid w:val="00D42672"/>
    <w:rsid w:val="00D607D4"/>
    <w:rsid w:val="00D938AB"/>
    <w:rsid w:val="00DB2AC9"/>
    <w:rsid w:val="00DD4592"/>
    <w:rsid w:val="00E02E23"/>
    <w:rsid w:val="00E47A6C"/>
    <w:rsid w:val="00E54E8F"/>
    <w:rsid w:val="00E9533D"/>
    <w:rsid w:val="00EB6689"/>
    <w:rsid w:val="00EF408F"/>
    <w:rsid w:val="00EF4F82"/>
    <w:rsid w:val="00F00E31"/>
    <w:rsid w:val="00F51CE6"/>
    <w:rsid w:val="00F93B56"/>
    <w:rsid w:val="00FA6A5D"/>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D6EC8"/>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1490</TotalTime>
  <Pages>2</Pages>
  <Words>418</Words>
  <Characters>2383</Characters>
  <Application>Microsoft Office Word</Application>
  <DocSecurity>0</DocSecurity>
  <Lines>19</Lines>
  <Paragraphs>5</Paragraphs>
  <ScaleCrop>false</ScaleCrop>
  <Company/>
  <LinksUpToDate>false</LinksUpToDate>
  <CharactersWithSpaces>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28</cp:revision>
  <dcterms:created xsi:type="dcterms:W3CDTF">2020-08-06T01:43:00Z</dcterms:created>
  <dcterms:modified xsi:type="dcterms:W3CDTF">2021-01-15T14:00:00Z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